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14219057" w14:textId="7CD181BA" w:rsidR="00D77E15" w:rsidRPr="003E1B11" w:rsidRDefault="003E1B11" w:rsidP="003E1B11">
      <w:pPr>
        <w:spacing w:after="240" w:line="240" w:lineRule="auto"/>
        <w:rPr>
          <w:rFonts w:ascii="Verdana" w:hAnsi="Verdana"/>
          <w:sz w:val="20"/>
          <w:szCs w:val="24"/>
        </w:rPr>
      </w:pPr>
      <w:r>
        <w:rPr>
          <w:rFonts w:ascii="Verdana" w:hAnsi="Verdana"/>
          <w:sz w:val="20"/>
          <w:szCs w:val="24"/>
        </w:rPr>
        <w:t>T</w:t>
      </w:r>
      <w:r w:rsidR="00341F95">
        <w:rPr>
          <w:rFonts w:ascii="Verdana" w:hAnsi="Verdana"/>
          <w:sz w:val="20"/>
          <w:szCs w:val="24"/>
        </w:rPr>
        <w:t>he dam stopping overtopping</w:t>
      </w:r>
      <w:r w:rsidR="00564A6B">
        <w:rPr>
          <w:rFonts w:ascii="Verdana" w:hAnsi="Verdana"/>
          <w:sz w:val="20"/>
          <w:szCs w:val="24"/>
        </w:rPr>
        <w:t xml:space="preserve"> in March 2023</w:t>
      </w:r>
      <w:r>
        <w:rPr>
          <w:rFonts w:ascii="Verdana" w:hAnsi="Verdana"/>
          <w:sz w:val="20"/>
          <w:szCs w:val="24"/>
        </w:rPr>
        <w:t xml:space="preserve"> a dry period through summer saw the dam fall to below 80%</w:t>
      </w:r>
      <w:r w:rsidR="00B10490" w:rsidRPr="004A3AC2">
        <w:rPr>
          <w:rFonts w:ascii="Verdana" w:hAnsi="Verdana"/>
          <w:sz w:val="20"/>
          <w:szCs w:val="24"/>
        </w:rPr>
        <w:t xml:space="preserve">. </w:t>
      </w:r>
      <w:r>
        <w:rPr>
          <w:rFonts w:ascii="Verdana" w:hAnsi="Verdana"/>
          <w:sz w:val="20"/>
          <w:szCs w:val="24"/>
        </w:rPr>
        <w:t xml:space="preserve">Some autumn rain topped the dam up. </w:t>
      </w:r>
      <w:r w:rsidR="00A9042B">
        <w:rPr>
          <w:rFonts w:ascii="Verdana" w:hAnsi="Verdana"/>
          <w:sz w:val="20"/>
          <w:szCs w:val="24"/>
        </w:rPr>
        <w:t>The New Water Filtration Plant commenced sending water supply to town from 6</w:t>
      </w:r>
      <w:r w:rsidR="00A9042B" w:rsidRPr="00A9042B">
        <w:rPr>
          <w:rFonts w:ascii="Verdana" w:hAnsi="Verdana"/>
          <w:sz w:val="20"/>
          <w:szCs w:val="24"/>
          <w:vertAlign w:val="superscript"/>
        </w:rPr>
        <w:t>th</w:t>
      </w:r>
      <w:r w:rsidR="00A9042B">
        <w:rPr>
          <w:rFonts w:ascii="Verdana" w:hAnsi="Verdana"/>
          <w:sz w:val="20"/>
          <w:szCs w:val="24"/>
        </w:rPr>
        <w:t xml:space="preserve"> May 2024.</w:t>
      </w:r>
    </w:p>
    <w:p w14:paraId="17BEA5CB" w14:textId="68B9EF52" w:rsidR="003E1B11" w:rsidRDefault="00A9042B" w:rsidP="00A413F2">
      <w:pPr>
        <w:jc w:val="center"/>
      </w:pPr>
      <w:r>
        <w:rPr>
          <w:noProof/>
        </w:rPr>
        <w:drawing>
          <wp:inline distT="0" distB="0" distL="0" distR="0" wp14:anchorId="494DC622" wp14:editId="731490AA">
            <wp:extent cx="4312987" cy="3240000"/>
            <wp:effectExtent l="76200" t="76200" r="125730" b="132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87"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9A9834" w14:textId="3ADB0A64" w:rsidR="003E1B11" w:rsidRDefault="003E1B11" w:rsidP="003C33A5">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 xml:space="preserve">View of </w:t>
      </w:r>
      <w:r w:rsidR="00A9042B">
        <w:t>inside New Water Plant</w:t>
      </w:r>
      <w:r w:rsidR="003C33A5">
        <w:t xml:space="preserve"> </w:t>
      </w:r>
      <w:r w:rsidR="00A9042B">
        <w:t xml:space="preserve">May </w:t>
      </w:r>
      <w:r>
        <w:t>20</w:t>
      </w:r>
      <w:r w:rsidR="00A9042B">
        <w:t>24</w:t>
      </w:r>
    </w:p>
    <w:p w14:paraId="66AB1EFD" w14:textId="43365DF0" w:rsidR="0019332B" w:rsidRPr="00627986" w:rsidRDefault="00341F95" w:rsidP="00A413F2">
      <w:pPr>
        <w:jc w:val="center"/>
        <w:rPr>
          <w:highlight w:val="yellow"/>
        </w:rPr>
      </w:pPr>
      <w:r>
        <w:rPr>
          <w:noProof/>
        </w:rPr>
        <w:drawing>
          <wp:inline distT="0" distB="0" distL="0" distR="0" wp14:anchorId="6177604E" wp14:editId="65E1FD2A">
            <wp:extent cx="3840000" cy="2880000"/>
            <wp:effectExtent l="76200" t="76200" r="141605" b="130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5B66764A" w:rsidR="00761581" w:rsidRPr="00761581" w:rsidRDefault="006A3B72" w:rsidP="00761581">
      <w:r w:rsidRPr="006A3B72">
        <w:rPr>
          <w:noProof/>
        </w:rPr>
        <w:drawing>
          <wp:inline distT="0" distB="0" distL="0" distR="0" wp14:anchorId="04D4DDB6" wp14:editId="1945F51D">
            <wp:extent cx="6299835" cy="3990975"/>
            <wp:effectExtent l="0" t="0" r="5715" b="9525"/>
            <wp:docPr id="12" name="Chart 12">
              <a:extLst xmlns:a="http://schemas.openxmlformats.org/drawingml/2006/main">
                <a:ext uri="{FF2B5EF4-FFF2-40B4-BE49-F238E27FC236}">
                  <a16:creationId xmlns:a16="http://schemas.microsoft.com/office/drawing/2014/main" id="{F9E71943-A01A-AA91-9674-1E8924468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A9042B">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745EFA19"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6A3B72">
      <w:rPr>
        <w:b/>
      </w:rPr>
      <w:t>May</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3B72"/>
    <w:rsid w:val="006A7AD1"/>
    <w:rsid w:val="006B07D0"/>
    <w:rsid w:val="00714189"/>
    <w:rsid w:val="007153D0"/>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9042B"/>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8.7415464055804637E-2"/>
          <c:y val="6.5661136249371546E-2"/>
          <c:w val="0.81904272096015218"/>
          <c:h val="0.78148246982253711"/>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%'!$C$156:$C$318</c:f>
            </c:numRef>
          </c:val>
          <c:extLst>
            <c:ext xmlns:c16="http://schemas.microsoft.com/office/drawing/2014/chart" uri="{C3380CC4-5D6E-409C-BE32-E72D297353CC}">
              <c16:uniqueId val="{00000000-5B48-44C6-8BB0-B4C5E9DCB6C9}"/>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%'!$D$156:$D$318</c:f>
            </c:numRef>
          </c:val>
          <c:extLst>
            <c:ext xmlns:c16="http://schemas.microsoft.com/office/drawing/2014/chart" uri="{C3380CC4-5D6E-409C-BE32-E72D297353CC}">
              <c16:uniqueId val="{00000001-5B48-44C6-8BB0-B4C5E9DCB6C9}"/>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%'!$E$156:$E$318</c:f>
            </c:numRef>
          </c:val>
          <c:extLst>
            <c:ext xmlns:c16="http://schemas.microsoft.com/office/drawing/2014/chart" uri="{C3380CC4-5D6E-409C-BE32-E72D297353CC}">
              <c16:uniqueId val="{00000002-5B48-44C6-8BB0-B4C5E9DCB6C9}"/>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%'!$F$156:$F$1343</c:f>
            </c:numRef>
          </c:val>
          <c:extLst>
            <c:ext xmlns:c16="http://schemas.microsoft.com/office/drawing/2014/chart" uri="{C3380CC4-5D6E-409C-BE32-E72D297353CC}">
              <c16:uniqueId val="{00000003-5B48-44C6-8BB0-B4C5E9DCB6C9}"/>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%'!$G$156:$G$318</c:f>
            </c:numRef>
          </c:val>
          <c:extLst>
            <c:ext xmlns:c16="http://schemas.microsoft.com/office/drawing/2014/chart" uri="{C3380CC4-5D6E-409C-BE32-E72D297353CC}">
              <c16:uniqueId val="{00000004-5B48-44C6-8BB0-B4C5E9DCB6C9}"/>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%'!$H$156:$H$318</c:f>
            </c:numRef>
          </c:val>
          <c:extLst>
            <c:ext xmlns:c16="http://schemas.microsoft.com/office/drawing/2014/chart" uri="{C3380CC4-5D6E-409C-BE32-E72D297353CC}">
              <c16:uniqueId val="{00000005-5B48-44C6-8BB0-B4C5E9DCB6C9}"/>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%'!$I$156:$I$318</c:f>
            </c:numRef>
          </c:val>
          <c:extLst>
            <c:ext xmlns:c16="http://schemas.microsoft.com/office/drawing/2014/chart" uri="{C3380CC4-5D6E-409C-BE32-E72D297353CC}">
              <c16:uniqueId val="{00000006-5B48-44C6-8BB0-B4C5E9DCB6C9}"/>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%'!$J$156:$J$318</c:f>
            </c:numRef>
          </c:val>
          <c:extLst>
            <c:ext xmlns:c16="http://schemas.microsoft.com/office/drawing/2014/chart" uri="{C3380CC4-5D6E-409C-BE32-E72D297353CC}">
              <c16:uniqueId val="{00000007-5B48-44C6-8BB0-B4C5E9DCB6C9}"/>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%'!$B$581:$B$2189</c:f>
              <c:numCache>
                <c:formatCode>[$-C09]dddd\,\ d\ mmmm\ yyyy;@</c:formatCode>
                <c:ptCount val="16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numCache>
            </c:numRef>
          </c:cat>
          <c:val>
            <c:numRef>
              <c:f>'Dam level production and %'!$K$581:$K$2189</c:f>
              <c:numCache>
                <c:formatCode>0.0</c:formatCode>
                <c:ptCount val="1609"/>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pt idx="1552" formatCode="General">
                  <c:v>821.7</c:v>
                </c:pt>
                <c:pt idx="1553" formatCode="General">
                  <c:v>943.9</c:v>
                </c:pt>
                <c:pt idx="1554" formatCode="General">
                  <c:v>795.7</c:v>
                </c:pt>
                <c:pt idx="1555" formatCode="General">
                  <c:v>705.2</c:v>
                </c:pt>
                <c:pt idx="1556" formatCode="General">
                  <c:v>634.5</c:v>
                </c:pt>
                <c:pt idx="1557" formatCode="General">
                  <c:v>935.9</c:v>
                </c:pt>
                <c:pt idx="1558" formatCode="General">
                  <c:v>681.8</c:v>
                </c:pt>
                <c:pt idx="1559" formatCode="General">
                  <c:v>1071.2</c:v>
                </c:pt>
                <c:pt idx="1560" formatCode="General">
                  <c:v>804.5</c:v>
                </c:pt>
                <c:pt idx="1561" formatCode="General">
                  <c:v>865.1</c:v>
                </c:pt>
                <c:pt idx="1562" formatCode="General">
                  <c:v>764.7</c:v>
                </c:pt>
                <c:pt idx="1563" formatCode="General">
                  <c:v>910.4</c:v>
                </c:pt>
                <c:pt idx="1564" formatCode="General">
                  <c:v>1089.3</c:v>
                </c:pt>
                <c:pt idx="1565" formatCode="General">
                  <c:v>1045.4000000000001</c:v>
                </c:pt>
                <c:pt idx="1566" formatCode="General">
                  <c:v>655.5</c:v>
                </c:pt>
                <c:pt idx="1567" formatCode="General">
                  <c:v>1093.2</c:v>
                </c:pt>
                <c:pt idx="1568" formatCode="General">
                  <c:v>623.20000000000005</c:v>
                </c:pt>
                <c:pt idx="1569" formatCode="General">
                  <c:v>942.5</c:v>
                </c:pt>
                <c:pt idx="1570" formatCode="General">
                  <c:v>824.9</c:v>
                </c:pt>
                <c:pt idx="1571" formatCode="General">
                  <c:v>820.9</c:v>
                </c:pt>
                <c:pt idx="1572" formatCode="General">
                  <c:v>1121.5</c:v>
                </c:pt>
                <c:pt idx="1573" formatCode="General">
                  <c:v>619.5</c:v>
                </c:pt>
                <c:pt idx="1574" formatCode="General">
                  <c:v>902.2</c:v>
                </c:pt>
                <c:pt idx="1575" formatCode="General">
                  <c:v>606.70000000000005</c:v>
                </c:pt>
                <c:pt idx="1576" formatCode="General">
                  <c:v>1012.2</c:v>
                </c:pt>
                <c:pt idx="1577" formatCode="General">
                  <c:v>636.4</c:v>
                </c:pt>
                <c:pt idx="1578" formatCode="General">
                  <c:v>1053.9000000000001</c:v>
                </c:pt>
                <c:pt idx="1579" formatCode="General">
                  <c:v>831</c:v>
                </c:pt>
                <c:pt idx="1581" formatCode="General">
                  <c:v>719</c:v>
                </c:pt>
                <c:pt idx="1582" formatCode="General">
                  <c:v>800</c:v>
                </c:pt>
                <c:pt idx="1583" formatCode="General">
                  <c:v>1015</c:v>
                </c:pt>
                <c:pt idx="1584" formatCode="General">
                  <c:v>487</c:v>
                </c:pt>
                <c:pt idx="1585" formatCode="General">
                  <c:v>673</c:v>
                </c:pt>
                <c:pt idx="1586" formatCode="General">
                  <c:v>675</c:v>
                </c:pt>
                <c:pt idx="1587" formatCode="General">
                  <c:v>708</c:v>
                </c:pt>
                <c:pt idx="1588" formatCode="General">
                  <c:v>569</c:v>
                </c:pt>
                <c:pt idx="1589" formatCode="General">
                  <c:v>745</c:v>
                </c:pt>
                <c:pt idx="1590" formatCode="General">
                  <c:v>143</c:v>
                </c:pt>
                <c:pt idx="1591" formatCode="General">
                  <c:v>1390</c:v>
                </c:pt>
                <c:pt idx="1592" formatCode="General">
                  <c:v>907</c:v>
                </c:pt>
                <c:pt idx="1593" formatCode="General">
                  <c:v>714</c:v>
                </c:pt>
                <c:pt idx="1594" formatCode="General">
                  <c:v>588</c:v>
                </c:pt>
                <c:pt idx="1595" formatCode="General">
                  <c:v>1050</c:v>
                </c:pt>
                <c:pt idx="1596" formatCode="General">
                  <c:v>284</c:v>
                </c:pt>
                <c:pt idx="1597" formatCode="General">
                  <c:v>992</c:v>
                </c:pt>
                <c:pt idx="1598" formatCode="General">
                  <c:v>662</c:v>
                </c:pt>
                <c:pt idx="1599" formatCode="General">
                  <c:v>788</c:v>
                </c:pt>
                <c:pt idx="1600" formatCode="General">
                  <c:v>642</c:v>
                </c:pt>
                <c:pt idx="1601" formatCode="General">
                  <c:v>684</c:v>
                </c:pt>
                <c:pt idx="1602" formatCode="General">
                  <c:v>758</c:v>
                </c:pt>
                <c:pt idx="1603" formatCode="General">
                  <c:v>823</c:v>
                </c:pt>
                <c:pt idx="1604" formatCode="General">
                  <c:v>654</c:v>
                </c:pt>
                <c:pt idx="1605" formatCode="General">
                  <c:v>712</c:v>
                </c:pt>
                <c:pt idx="1606" formatCode="General">
                  <c:v>707</c:v>
                </c:pt>
                <c:pt idx="1607" formatCode="General">
                  <c:v>756</c:v>
                </c:pt>
                <c:pt idx="1608" formatCode="General">
                  <c:v>606</c:v>
                </c:pt>
              </c:numCache>
            </c:numRef>
          </c:val>
          <c:extLst>
            <c:ext xmlns:c16="http://schemas.microsoft.com/office/drawing/2014/chart" uri="{C3380CC4-5D6E-409C-BE32-E72D297353CC}">
              <c16:uniqueId val="{00000008-5B48-44C6-8BB0-B4C5E9DCB6C9}"/>
            </c:ext>
          </c:extLst>
        </c:ser>
        <c:dLbls>
          <c:showLegendKey val="0"/>
          <c:showVal val="0"/>
          <c:showCatName val="0"/>
          <c:showSerName val="0"/>
          <c:showPercent val="0"/>
          <c:showBubbleSize val="0"/>
        </c:dLbls>
        <c:gapWidth val="150"/>
        <c:axId val="491055320"/>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5B48-44C6-8BB0-B4C5E9DCB6C9}"/>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5B48-44C6-8BB0-B4C5E9DCB6C9}"/>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5B48-44C6-8BB0-B4C5E9DCB6C9}"/>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5B48-44C6-8BB0-B4C5E9DCB6C9}"/>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5B48-44C6-8BB0-B4C5E9DCB6C9}"/>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5B48-44C6-8BB0-B4C5E9DCB6C9}"/>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5B48-44C6-8BB0-B4C5E9DCB6C9}"/>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5B48-44C6-8BB0-B4C5E9DCB6C9}"/>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%'!$A$551:$B$2189</c:f>
              <c:numCache>
                <c:formatCode>[$-C09]dddd\,\ d\ mmmm\ yyyy;@</c:formatCode>
                <c:ptCount val="1639"/>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pt idx="1582">
                  <c:v>45383</c:v>
                </c:pt>
                <c:pt idx="1583">
                  <c:v>45384</c:v>
                </c:pt>
                <c:pt idx="1584">
                  <c:v>45385</c:v>
                </c:pt>
                <c:pt idx="1585">
                  <c:v>45386</c:v>
                </c:pt>
                <c:pt idx="1586">
                  <c:v>45387</c:v>
                </c:pt>
                <c:pt idx="1587">
                  <c:v>45388</c:v>
                </c:pt>
                <c:pt idx="1588">
                  <c:v>45389</c:v>
                </c:pt>
                <c:pt idx="1589">
                  <c:v>45390</c:v>
                </c:pt>
                <c:pt idx="1590">
                  <c:v>45391</c:v>
                </c:pt>
                <c:pt idx="1591">
                  <c:v>45392</c:v>
                </c:pt>
                <c:pt idx="1592">
                  <c:v>45393</c:v>
                </c:pt>
                <c:pt idx="1593">
                  <c:v>45394</c:v>
                </c:pt>
                <c:pt idx="1594">
                  <c:v>45395</c:v>
                </c:pt>
                <c:pt idx="1595">
                  <c:v>45396</c:v>
                </c:pt>
                <c:pt idx="1596">
                  <c:v>45397</c:v>
                </c:pt>
                <c:pt idx="1597">
                  <c:v>45398</c:v>
                </c:pt>
                <c:pt idx="1598">
                  <c:v>45399</c:v>
                </c:pt>
                <c:pt idx="1599">
                  <c:v>45400</c:v>
                </c:pt>
                <c:pt idx="1600">
                  <c:v>45401</c:v>
                </c:pt>
                <c:pt idx="1601">
                  <c:v>45402</c:v>
                </c:pt>
                <c:pt idx="1602">
                  <c:v>45403</c:v>
                </c:pt>
                <c:pt idx="1603">
                  <c:v>45404</c:v>
                </c:pt>
                <c:pt idx="1604">
                  <c:v>45405</c:v>
                </c:pt>
                <c:pt idx="1605">
                  <c:v>45406</c:v>
                </c:pt>
                <c:pt idx="1606">
                  <c:v>45407</c:v>
                </c:pt>
                <c:pt idx="1607">
                  <c:v>45408</c:v>
                </c:pt>
                <c:pt idx="1608">
                  <c:v>45409</c:v>
                </c:pt>
                <c:pt idx="1609">
                  <c:v>45410</c:v>
                </c:pt>
                <c:pt idx="1611" formatCode="[$-F800]dddd\,\ mmmm\ dd\,\ yyyy">
                  <c:v>45416</c:v>
                </c:pt>
                <c:pt idx="1612" formatCode="[$-F800]dddd\,\ mmmm\ dd\,\ yyyy">
                  <c:v>45417</c:v>
                </c:pt>
                <c:pt idx="1613" formatCode="[$-F800]dddd\,\ mmmm\ dd\,\ yyyy">
                  <c:v>45418</c:v>
                </c:pt>
                <c:pt idx="1614" formatCode="[$-F800]dddd\,\ mmmm\ dd\,\ yyyy">
                  <c:v>45419</c:v>
                </c:pt>
                <c:pt idx="1615" formatCode="[$-F800]dddd\,\ mmmm\ dd\,\ yyyy">
                  <c:v>45420</c:v>
                </c:pt>
                <c:pt idx="1616" formatCode="[$-F800]dddd\,\ mmmm\ dd\,\ yyyy">
                  <c:v>45421</c:v>
                </c:pt>
                <c:pt idx="1617" formatCode="[$-F800]dddd\,\ mmmm\ dd\,\ yyyy">
                  <c:v>45422</c:v>
                </c:pt>
                <c:pt idx="1618" formatCode="[$-F800]dddd\,\ mmmm\ dd\,\ yyyy">
                  <c:v>45423</c:v>
                </c:pt>
                <c:pt idx="1619" formatCode="[$-F800]dddd\,\ mmmm\ dd\,\ yyyy">
                  <c:v>45424</c:v>
                </c:pt>
                <c:pt idx="1620" formatCode="[$-F800]dddd\,\ mmmm\ dd\,\ yyyy">
                  <c:v>45425</c:v>
                </c:pt>
                <c:pt idx="1621" formatCode="[$-F800]dddd\,\ mmmm\ dd\,\ yyyy">
                  <c:v>45426</c:v>
                </c:pt>
                <c:pt idx="1622" formatCode="[$-F800]dddd\,\ mmmm\ dd\,\ yyyy">
                  <c:v>45427</c:v>
                </c:pt>
                <c:pt idx="1623" formatCode="[$-F800]dddd\,\ mmmm\ dd\,\ yyyy">
                  <c:v>45428</c:v>
                </c:pt>
                <c:pt idx="1624" formatCode="[$-F800]dddd\,\ mmmm\ dd\,\ yyyy">
                  <c:v>45429</c:v>
                </c:pt>
                <c:pt idx="1625" formatCode="[$-F800]dddd\,\ mmmm\ dd\,\ yyyy">
                  <c:v>45430</c:v>
                </c:pt>
                <c:pt idx="1626" formatCode="[$-F800]dddd\,\ mmmm\ dd\,\ yyyy">
                  <c:v>45431</c:v>
                </c:pt>
                <c:pt idx="1627" formatCode="[$-F800]dddd\,\ mmmm\ dd\,\ yyyy">
                  <c:v>45432</c:v>
                </c:pt>
                <c:pt idx="1628" formatCode="[$-F800]dddd\,\ mmmm\ dd\,\ yyyy">
                  <c:v>45433</c:v>
                </c:pt>
                <c:pt idx="1629" formatCode="[$-F800]dddd\,\ mmmm\ dd\,\ yyyy">
                  <c:v>45434</c:v>
                </c:pt>
                <c:pt idx="1630" formatCode="[$-F800]dddd\,\ mmmm\ dd\,\ yyyy">
                  <c:v>45435</c:v>
                </c:pt>
                <c:pt idx="1631" formatCode="[$-F800]dddd\,\ mmmm\ dd\,\ yyyy">
                  <c:v>45436</c:v>
                </c:pt>
                <c:pt idx="1632" formatCode="[$-F800]dddd\,\ mmmm\ dd\,\ yyyy">
                  <c:v>45437</c:v>
                </c:pt>
                <c:pt idx="1633" formatCode="[$-F800]dddd\,\ mmmm\ dd\,\ yyyy">
                  <c:v>45438</c:v>
                </c:pt>
                <c:pt idx="1634" formatCode="[$-F800]dddd\,\ mmmm\ dd\,\ yyyy">
                  <c:v>45439</c:v>
                </c:pt>
                <c:pt idx="1635" formatCode="[$-F800]dddd\,\ mmmm\ dd\,\ yyyy">
                  <c:v>45440</c:v>
                </c:pt>
                <c:pt idx="1636" formatCode="[$-F800]dddd\,\ mmmm\ dd\,\ yyyy">
                  <c:v>45441</c:v>
                </c:pt>
                <c:pt idx="1637" formatCode="[$-F800]dddd\,\ mmmm\ dd\,\ yyyy">
                  <c:v>45442</c:v>
                </c:pt>
                <c:pt idx="1638" formatCode="[$-F800]dddd\,\ mmmm\ dd\,\ yyyy">
                  <c:v>45443</c:v>
                </c:pt>
              </c:numCache>
            </c:numRef>
          </c:cat>
          <c:val>
            <c:numRef>
              <c:f>'Dam level production and %'!$R$551:$R$2189</c:f>
              <c:numCache>
                <c:formatCode>0%</c:formatCode>
                <c:ptCount val="1639"/>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pt idx="1582">
                  <c:v>0.86644494001845596</c:v>
                </c:pt>
                <c:pt idx="1583">
                  <c:v>0.86309597047062458</c:v>
                </c:pt>
                <c:pt idx="1584">
                  <c:v>0.86309597047062458</c:v>
                </c:pt>
                <c:pt idx="1585">
                  <c:v>0.86979390956628744</c:v>
                </c:pt>
                <c:pt idx="1586">
                  <c:v>0.98702108752862372</c:v>
                </c:pt>
                <c:pt idx="1587">
                  <c:v>0.88643451587545719</c:v>
                </c:pt>
                <c:pt idx="1588">
                  <c:v>0.92537125328958603</c:v>
                </c:pt>
                <c:pt idx="1589">
                  <c:v>0.99026581564646776</c:v>
                </c:pt>
                <c:pt idx="1590">
                  <c:v>0.99351054376431192</c:v>
                </c:pt>
                <c:pt idx="1591">
                  <c:v>0.99351054376431192</c:v>
                </c:pt>
                <c:pt idx="1592">
                  <c:v>0.98377635941077968</c:v>
                </c:pt>
                <c:pt idx="1593">
                  <c:v>0.98377635941077968</c:v>
                </c:pt>
                <c:pt idx="1594">
                  <c:v>0.98377635941077968</c:v>
                </c:pt>
                <c:pt idx="1595">
                  <c:v>0.98377635941077968</c:v>
                </c:pt>
                <c:pt idx="1596">
                  <c:v>0.99026581564646776</c:v>
                </c:pt>
                <c:pt idx="1597">
                  <c:v>0.98864345158754574</c:v>
                </c:pt>
                <c:pt idx="1598">
                  <c:v>0.99026581564646776</c:v>
                </c:pt>
                <c:pt idx="1599">
                  <c:v>0.99351054376431192</c:v>
                </c:pt>
                <c:pt idx="1600">
                  <c:v>0.99351054376431192</c:v>
                </c:pt>
                <c:pt idx="1601">
                  <c:v>0.99026581564646776</c:v>
                </c:pt>
                <c:pt idx="1602">
                  <c:v>0.99351054376431192</c:v>
                </c:pt>
                <c:pt idx="1603">
                  <c:v>0.99351054376431192</c:v>
                </c:pt>
                <c:pt idx="1604">
                  <c:v>0.97728690317509148</c:v>
                </c:pt>
                <c:pt idx="1605">
                  <c:v>0.97728690317509148</c:v>
                </c:pt>
                <c:pt idx="1606">
                  <c:v>0.97728690317509148</c:v>
                </c:pt>
                <c:pt idx="1607">
                  <c:v>0.9789092672340135</c:v>
                </c:pt>
                <c:pt idx="1608">
                  <c:v>0.9789092672340135</c:v>
                </c:pt>
                <c:pt idx="1609">
                  <c:v>0.97728690317509148</c:v>
                </c:pt>
                <c:pt idx="1613" formatCode="General">
                  <c:v>100</c:v>
                </c:pt>
                <c:pt idx="1614" formatCode="General">
                  <c:v>100</c:v>
                </c:pt>
                <c:pt idx="1615" formatCode="General">
                  <c:v>100</c:v>
                </c:pt>
                <c:pt idx="1616" formatCode="General">
                  <c:v>90</c:v>
                </c:pt>
                <c:pt idx="1617" formatCode="General">
                  <c:v>90</c:v>
                </c:pt>
                <c:pt idx="1618" formatCode="General">
                  <c:v>90</c:v>
                </c:pt>
                <c:pt idx="1619" formatCode="General">
                  <c:v>90</c:v>
                </c:pt>
                <c:pt idx="1620" formatCode="General">
                  <c:v>65</c:v>
                </c:pt>
                <c:pt idx="1621" formatCode="General">
                  <c:v>70</c:v>
                </c:pt>
                <c:pt idx="1622" formatCode="General">
                  <c:v>70</c:v>
                </c:pt>
                <c:pt idx="1623" formatCode="General">
                  <c:v>75</c:v>
                </c:pt>
                <c:pt idx="1624" formatCode="General">
                  <c:v>80</c:v>
                </c:pt>
                <c:pt idx="1625" formatCode="General">
                  <c:v>80</c:v>
                </c:pt>
                <c:pt idx="1626" formatCode="General">
                  <c:v>85</c:v>
                </c:pt>
                <c:pt idx="1627" formatCode="General">
                  <c:v>65</c:v>
                </c:pt>
                <c:pt idx="1628" formatCode="General">
                  <c:v>70</c:v>
                </c:pt>
                <c:pt idx="1629" formatCode="General">
                  <c:v>70</c:v>
                </c:pt>
                <c:pt idx="1630" formatCode="General">
                  <c:v>75</c:v>
                </c:pt>
                <c:pt idx="1631" formatCode="General">
                  <c:v>75</c:v>
                </c:pt>
                <c:pt idx="1632" formatCode="General">
                  <c:v>80</c:v>
                </c:pt>
                <c:pt idx="1633" formatCode="General">
                  <c:v>80</c:v>
                </c:pt>
                <c:pt idx="1634" formatCode="General">
                  <c:v>80</c:v>
                </c:pt>
                <c:pt idx="1635" formatCode="General">
                  <c:v>85</c:v>
                </c:pt>
                <c:pt idx="1636" formatCode="General">
                  <c:v>95</c:v>
                </c:pt>
                <c:pt idx="1637" formatCode="General">
                  <c:v>110</c:v>
                </c:pt>
                <c:pt idx="1638" formatCode="General">
                  <c:v>110</c:v>
                </c:pt>
              </c:numCache>
            </c:numRef>
          </c:val>
          <c:smooth val="0"/>
          <c:extLst>
            <c:ext xmlns:c16="http://schemas.microsoft.com/office/drawing/2014/chart" uri="{C3380CC4-5D6E-409C-BE32-E72D297353CC}">
              <c16:uniqueId val="{00000011-5B48-44C6-8BB0-B4C5E9DCB6C9}"/>
            </c:ext>
          </c:extLst>
        </c:ser>
        <c:dLbls>
          <c:showLegendKey val="0"/>
          <c:showVal val="0"/>
          <c:showCatName val="0"/>
          <c:showSerName val="0"/>
          <c:showPercent val="0"/>
          <c:showBubbleSize val="0"/>
        </c:dLbls>
        <c:marker val="1"/>
        <c:smooth val="0"/>
        <c:axId val="3"/>
        <c:axId val="4"/>
      </c:lineChart>
      <c:dateAx>
        <c:axId val="491055320"/>
        <c:scaling>
          <c:orientation val="minMax"/>
          <c:max val="45443"/>
          <c:min val="44742"/>
        </c:scaling>
        <c:delete val="0"/>
        <c:axPos val="b"/>
        <c:numFmt formatCode="dd/mm/yyyy;@" sourceLinked="0"/>
        <c:majorTickMark val="out"/>
        <c:minorTickMark val="none"/>
        <c:tickLblPos val="nextTo"/>
        <c:spPr>
          <a:ln w="6350">
            <a:noFill/>
          </a:ln>
        </c:spPr>
        <c:txPr>
          <a:bodyPr rot="-2700000" vert="horz"/>
          <a:lstStyle/>
          <a:p>
            <a:pPr>
              <a:defRPr sz="8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91055320"/>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8.8535493389906225E-2"/>
          <c:y val="2.4251651801443369E-2"/>
          <c:w val="0.2935800699542131"/>
          <c:h val="6.7799353135156754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685</Words>
  <Characters>3704</Characters>
  <Application>Microsoft Office Word</Application>
  <DocSecurity>0</DocSecurity>
  <Lines>231</Lines>
  <Paragraphs>168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3</cp:revision>
  <cp:lastPrinted>2020-04-17T01:08:00Z</cp:lastPrinted>
  <dcterms:created xsi:type="dcterms:W3CDTF">2024-07-12T01:00:00Z</dcterms:created>
  <dcterms:modified xsi:type="dcterms:W3CDTF">2024-07-12T01:11:00Z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